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1.07.2019 – 31.12.2019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KĘPIE, PRZYSIEKA, KAMIONKA, ROGÓW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7"/>
        <w:gridCol w:w="325"/>
        <w:gridCol w:w="1"/>
        <w:gridCol w:w="193"/>
        <w:gridCol w:w="1"/>
        <w:gridCol w:w="335"/>
        <w:gridCol w:w="369"/>
        <w:gridCol w:w="326"/>
        <w:gridCol w:w="349"/>
        <w:gridCol w:w="327"/>
        <w:gridCol w:w="337"/>
        <w:gridCol w:w="329"/>
        <w:gridCol w:w="1"/>
        <w:gridCol w:w="193"/>
        <w:gridCol w:w="1"/>
        <w:gridCol w:w="338"/>
        <w:gridCol w:w="371"/>
        <w:gridCol w:w="327"/>
        <w:gridCol w:w="349"/>
        <w:gridCol w:w="327"/>
        <w:gridCol w:w="338"/>
        <w:gridCol w:w="450"/>
        <w:gridCol w:w="2"/>
        <w:gridCol w:w="192"/>
        <w:gridCol w:w="2"/>
        <w:gridCol w:w="338"/>
        <w:gridCol w:w="371"/>
        <w:gridCol w:w="327"/>
        <w:gridCol w:w="349"/>
        <w:gridCol w:w="328"/>
        <w:gridCol w:w="337"/>
        <w:gridCol w:w="328"/>
        <w:gridCol w:w="216"/>
      </w:tblGrid>
      <w:tr>
        <w:trPr>
          <w:trHeight w:val="247" w:hRule="atLeast"/>
        </w:trPr>
        <w:tc>
          <w:tcPr>
            <w:tcW w:w="2365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2019-08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2019-09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5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2019-11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106" w:leader="none"/>
        </w:tabs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tabs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  <w:color w:val="CE181E"/>
        </w:rPr>
        <w:t>31 lipiec 2019 roku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</w:t>
      </w:r>
    </w:p>
    <w:p>
      <w:pPr>
        <w:pStyle w:val="Normal"/>
        <w:spacing w:lineRule="auto" w:line="24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cs="Calibri" w:cstheme="minorHAnsi"/>
          <w:b/>
          <w:color w:val="292929"/>
          <w:sz w:val="20"/>
          <w:szCs w:val="20"/>
          <w:shd w:fill="FFFFFF" w:val="clear"/>
        </w:rPr>
        <w:t>Wśród odpadów wielkogabarytowych nie będą odbierane:</w:t>
      </w:r>
      <w:r>
        <w:rPr>
          <w:rFonts w:cs="Calibri" w:cstheme="minorHAnsi"/>
          <w:color w:val="292929"/>
          <w:sz w:val="20"/>
          <w:szCs w:val="20"/>
          <w:shd w:fill="FFFFFF" w:val="clear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i warzywach, części samochodowe i rolnicze, odpady poprodukcyjne itp.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Nieprawidłowa segregacja skutkuje brakiem odbioru odpadów( odbiór nastąpi po prawidłowym ich przesegregowaniu zgodnie z harmonogramem w kolejnym miesiącu)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>Prosimy o umieszczenie numeru posesji na pojemnikach celem prawidłowej ich identyfikacji.</w:t>
      </w:r>
    </w:p>
    <w:p>
      <w:pPr>
        <w:pStyle w:val="Normal"/>
        <w:spacing w:lineRule="auto" w:line="240"/>
        <w:ind w:left="227" w:hanging="0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i/>
          <w:spacing w:val="-2"/>
        </w:rPr>
        <w:t>!!!!!!!!!! ODPADY  NALEŻY WYSTAWIAĆ W DNIU WYWOZU DO GODZINY  7 RANO !!!!!!!!!!!</w:t>
      </w:r>
    </w:p>
    <w:p>
      <w:pPr>
        <w:pStyle w:val="Normal"/>
        <w:widowControl w:val="false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character" w:styleId="ListLabel1" w:customStyle="1">
    <w:name w:val="ListLabel 1"/>
    <w:qFormat/>
    <w:rsid w:val="008a71ba"/>
    <w:rPr>
      <w:u w:val="single"/>
    </w:rPr>
  </w:style>
  <w:style w:type="character" w:styleId="ListLabel2" w:customStyle="1">
    <w:name w:val="ListLabel 2"/>
    <w:qFormat/>
    <w:rsid w:val="008a71ba"/>
    <w:rPr>
      <w:rFonts w:cs="Courier New"/>
    </w:rPr>
  </w:style>
  <w:style w:type="character" w:styleId="ListLabel3" w:customStyle="1">
    <w:name w:val="ListLabel 3"/>
    <w:qFormat/>
    <w:rsid w:val="008a71ba"/>
    <w:rPr>
      <w:rFonts w:cs="Courier New"/>
    </w:rPr>
  </w:style>
  <w:style w:type="character" w:styleId="ListLabel4" w:customStyle="1">
    <w:name w:val="ListLabel 4"/>
    <w:qFormat/>
    <w:rsid w:val="008a71ba"/>
    <w:rPr>
      <w:rFonts w:cs="Calibri" w:cstheme="minorHAnsi"/>
      <w:sz w:val="20"/>
      <w:szCs w:val="20"/>
      <w:shd w:fill="FFFFFF" w:val="clear"/>
    </w:rPr>
  </w:style>
  <w:style w:type="character" w:styleId="ListLabel5">
    <w:name w:val="ListLabel 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">
    <w:name w:val="Header"/>
    <w:basedOn w:val="Normal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 LibreOffice_project/60bfb1526849283ce2491346ed2aa51c465abfe6</Application>
  <Pages>1</Pages>
  <Words>453</Words>
  <Characters>1889</Characters>
  <CharactersWithSpaces>2086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2019-05-27T04:53:00Z</dcterms:created>
  <dc:creator>Ewa</dc:creator>
  <dc:description/>
  <dc:language>pl-PL</dc:language>
  <cp:lastModifiedBy>HP</cp:lastModifiedBy>
  <dcterms:modified xsi:type="dcterms:W3CDTF">2019-05-27T04:55:00Z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