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sz w:val="26"/>
          <w:szCs w:val="26"/>
          <w:lang w:val="en-GB" w:eastAsia="pl-PL"/>
        </w:rPr>
        <w:t xml:space="preserve">Lista </w:t>
      </w:r>
      <w:r>
        <w:rPr>
          <w:b/>
          <w:bCs/>
          <w:sz w:val="26"/>
          <w:szCs w:val="26"/>
          <w:lang w:val="en-GB" w:eastAsia="pl-PL"/>
        </w:rPr>
        <w:t>uczestników</w:t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lang w:val="en-GB" w:eastAsia="pl-PL"/>
        </w:rPr>
        <w:t>Grupa III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0" w:name="__DdeLink__129_1773248676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0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“Finanse i transakcje  w sieci”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(07-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08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.12.2019 r)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492" w:type="dxa"/>
        <w:jc w:val="left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</w:tblPr>
      <w:tblGrid>
        <w:gridCol w:w="623"/>
        <w:gridCol w:w="1869"/>
      </w:tblGrid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13/2019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42/2019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83/2019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87/2019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112/2019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114/2019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113/2019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122/2019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119/2019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133/2019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129/2019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132/2019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sz w:val="26"/>
          <w:szCs w:val="26"/>
          <w:lang w:val="en-GB" w:eastAsia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LibreOffice/5.1.3.2$Windows_x86 LibreOffice_project/644e4637d1d8544fd9f56425bd6cec110e49301b</Application>
  <Pages>1</Pages>
  <Words>88</Words>
  <Characters>581</Characters>
  <CharactersWithSpaces>642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2019-12-04T12:37:46Z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